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ACT CAIXA</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SÍNTESE DA PROPOSTA GLOBAL</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 </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 </w:t>
      </w:r>
    </w:p>
    <w:p w:rsidR="00CF3AF0" w:rsidRPr="00CF3AF0" w:rsidRDefault="00CF3AF0" w:rsidP="00CF3AF0">
      <w:pPr>
        <w:numPr>
          <w:ilvl w:val="0"/>
          <w:numId w:val="1"/>
        </w:numPr>
        <w:shd w:val="clear" w:color="auto" w:fill="FFFFFF"/>
        <w:spacing w:after="0" w:line="240" w:lineRule="auto"/>
        <w:ind w:left="450"/>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u w:val="single"/>
          <w:bdr w:val="none" w:sz="0" w:space="0" w:color="auto" w:frame="1"/>
          <w:lang w:eastAsia="pt-BR"/>
        </w:rPr>
        <w:t>Cláusulas que se propõe a manutenção</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 </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REFERÊNCIA DE INGRESSO</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PARCELAMENTO DO ADIANTAMENTO DE FÉRIAS</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LICENÇA MATERNIDADE</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LICENÇA PATERNIDADE</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LICENÇA ADOÇÃO</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INDENIZAÇÃO POR ASSALTO/SINISTRO</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MULTA POR IRREGULARIDADE EM CHEQUE</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VALE CULTURA</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ADICIONAL DE INSALUBRIDADE E DE PERICULOSIDADE</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LICENÇA PARA TRATAMENTO DE SAÚDE</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TRABALHO DA GESTANTE</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INTERVALO PARA DESCANSO</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COMISSÃO DE NEGOCIAÇÃO</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DESCONTO DE MENSALIDADE SINDICAL</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LIBERAÇÃO DE DIRIGENTE SINDICAL</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DELEGADOS SINDICAIS</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UTILIZAÇÃO DE MALOTE</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REUNIÕES</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NEGOCIAÇÃO PERMANENTE</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SINDICALIZAÇÃO</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PORTAL DA UNIVERSIDADE CAIXA PARA DIRIGENTES SINDICAIS</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lastRenderedPageBreak/>
        <w:t>INCENTIVO À ELEVAÇÃO DA ESCOLARIDADE</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EMPRÉSTIMO EMERGENCIAL EM CASO DE CALAMIDADE</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TITULARIDADE DA FUNÇÃO GRATIFICADA/CARGO EM COMISSÃO EM LICENÇA PARA TRATAMENTO DE SAÚDE E LICENÇA MATERNIDADE</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DESCANSO ADICIONAL EM AGÊNCIAS BARCO</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HORAS DE ESTUDO DENTRO DA JORNADA</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REPRESENTAÇÃO</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TESOUREIRO EXECUTIVO</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INCORPORAÇÃO DO REB AO NOVO PLANO FUNCEF</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AUXÍLIO FUNERAL</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TARIFAS EM CONTA CORRENTE</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REGISTRO DE JORNADA</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numPr>
          <w:ilvl w:val="0"/>
          <w:numId w:val="2"/>
        </w:numPr>
        <w:shd w:val="clear" w:color="auto" w:fill="FFFFFF"/>
        <w:spacing w:after="0" w:line="240" w:lineRule="auto"/>
        <w:ind w:left="450"/>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Demais Cláusulas</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 </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REAJUSTE SALARIAL EM 2020 – 1,5% + R$ 2.000,00 ABONO</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REAJUSTE SALARIAL EM 2021 – INPC + 0,5% ganho real</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REAJUSTE DOS BENEFÍCIOS EM 2021 – INPC + 0,5%</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AUXÍLIO REFEIÇÃO/ALIMENTAÇÃO – INPC</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AUXÍLIO CESTA ALIMENTAÇÃO – INPC</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13ª CESTA ALIMENTAÇÃO – INPC</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AUXÍLIO CRECHE/AUXÍLIO BABÁ – INPC</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CIPA – COMISSÃO INTERNA DE PREVENÇÃO DE ACIDENTES</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 </w:t>
      </w:r>
    </w:p>
    <w:p w:rsidR="00CF3AF0" w:rsidRPr="00CF3AF0" w:rsidRDefault="00CF3AF0" w:rsidP="00CF3AF0">
      <w:pPr>
        <w:numPr>
          <w:ilvl w:val="0"/>
          <w:numId w:val="3"/>
        </w:numPr>
        <w:shd w:val="clear" w:color="auto" w:fill="FFFFFF"/>
        <w:spacing w:after="0" w:line="240" w:lineRule="auto"/>
        <w:ind w:left="450"/>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Cláusulas em que se propõem ajustes redacionais</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ADIANTAMENTO DE 13º SALÁRIO</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lastRenderedPageBreak/>
        <w:t>Mero ajuste de redação para atender requerimento do Comando</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ADICIONAL DE TRABALHO EM HORÁRIO NOTURNO</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Supressão da parte “integral ou parcialmente” contida na redação anterior.</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QUALIDADE DE VIDA DOS EMPREGADOS</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Apenas para informar que seguirá desenvolvendo</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ISENÇÃO DE ANUIDADE DE CARTÃO DE CRÉDITO</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Ajustar que será um da bandeira Elo +1, preferencialmente VISA</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JUROS DO CHEQUE ESPECIAL</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Para excluir menção à faixa de isenção, tendo em vista que a atual é mais benéfica</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JORNADA EM REGIME DE ESCALA DE REVEZAMENTO</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Para incluir o parágrafo quarto, contendo previsão de que o empregado poderá acumular até 30 dias de folga. No entanto, estará impedido de trabalhar em regime de escala de revezamento até que o saldo de dias de folga seja menor ou igual a 15.</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ESTABILIDADES PROVISÓRIAS DE EMPREGO</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Mera adequação de redação</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AUSÊNCIAS PERMITIDAS</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Adequação da redação e indicação que concessão de APIP tem de ser mediante prévia negociação com o gestor, como já previsto normativamente.</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lastRenderedPageBreak/>
        <w:t> </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SUPLEMENTAÇÃO DO AUXÍLIO-DOENÇA</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Mera adequação de redação para atualizar os conceitos previstos posteriormente pelo INSS</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PROCEDIMENTOS EM CASO DE ASSALTO E SEQUESTRO</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Sugestão para adequação de redação no parágrafo terceiro para prever que, em caso de ocorrência de assalto, sequestro ou extorsão mediante sequestro, a decisão quanto ao fechamento da Unidade em que ocorreu o fato cabe à Equipe de Gerenciamento de Crise e/ou à autoridade policial.</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Caso não aprovada retornaremos à cláusula vigente.</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GRUPO DE TRABALHO</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Incluir que as reuniões serão realizadas preferencialmente de forma virtual.</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PROMOÇÃO ANO BASE 2020 e PROMOÇÃO ANO BASE 2021</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Para esclarecer que a CAIXA realizará sistemática de promoção por mérito em 2021, referente ao ano base 2020, para os empregados ativos na data de pagamento da promoção, integrantes do quadro de pessoal permanente, inclusive cedidos, requisitados, liberados para entidades representativas dos empregados e licenciados sem suspensão do contrato de trabalho, , com no mínimo 180 dias de efetivo exercício em 2020, conforme regras a ser negociadas com as Entidades Representativas dos Empregados.</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Os liberados para entidades representativas dos empregados serão promovidos mediante avaliação de desempenho realizada pelas próprias entidades e apresentadas até 31/03/2021</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COMISSÕES DE CONCILIAÇÃO PRÉVIA</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Para ajustes de redação para prever a realização por meios digitais</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 </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 </w:t>
      </w:r>
    </w:p>
    <w:p w:rsidR="00CF3AF0" w:rsidRPr="00CF3AF0" w:rsidRDefault="00CF3AF0" w:rsidP="00CF3AF0">
      <w:pPr>
        <w:numPr>
          <w:ilvl w:val="0"/>
          <w:numId w:val="4"/>
        </w:numPr>
        <w:shd w:val="clear" w:color="auto" w:fill="FFFFFF"/>
        <w:spacing w:after="0" w:line="240" w:lineRule="auto"/>
        <w:ind w:left="450"/>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Cláusulas que se propõe a alteração</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lastRenderedPageBreak/>
        <w:t> </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ESCALA DE FÉRIAS / LICENÇA PRÊMIO</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A escala de férias e de licença prêmio será elaborada pela chefia, com a participação dos empregados de cada unidade em caráter opinativo.</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 </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Parágrafo Primeiro – </w:t>
      </w:r>
      <w:r w:rsidRPr="00CF3AF0">
        <w:rPr>
          <w:rFonts w:ascii="Roboto Slab" w:eastAsia="Times New Roman" w:hAnsi="Roboto Slab" w:cs="Times New Roman"/>
          <w:color w:val="666666"/>
          <w:sz w:val="24"/>
          <w:szCs w:val="24"/>
          <w:lang w:eastAsia="pt-BR"/>
        </w:rPr>
        <w:t>O empregado com menos de um ano de serviço que rescindir espontaneamente o seu contrato de trabalho fará jus à indenização por férias proporcionais de 1/12 para cada mês completo de efetivo serviço ou fração superior a 14 dias.</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Parágrafo Segundo – </w:t>
      </w:r>
      <w:r w:rsidRPr="00CF3AF0">
        <w:rPr>
          <w:rFonts w:ascii="Roboto Slab" w:eastAsia="Times New Roman" w:hAnsi="Roboto Slab" w:cs="Times New Roman"/>
          <w:color w:val="666666"/>
          <w:sz w:val="24"/>
          <w:szCs w:val="24"/>
          <w:lang w:eastAsia="pt-BR"/>
        </w:rPr>
        <w:t>Desde que haja concordância do empregado, as férias poderão ser usufruídas em até três períodos, sendo que um deles não poderá ser inferior a quatorze dias corridos e os demais não poderão ser inferiores a cinco dias corridos, cada um, independentemente da idade do empregado.</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Parágrafo Terceiro</w:t>
      </w:r>
      <w:r w:rsidRPr="00CF3AF0">
        <w:rPr>
          <w:rFonts w:ascii="Roboto Slab" w:eastAsia="Times New Roman" w:hAnsi="Roboto Slab" w:cs="Times New Roman"/>
          <w:color w:val="666666"/>
          <w:sz w:val="24"/>
          <w:szCs w:val="24"/>
          <w:lang w:eastAsia="pt-BR"/>
        </w:rPr>
        <w:t> – Fica facultada ao empregado a conversão de 1/3 em pecúnia, sendo que um dos períodos não pode ser inferior a 5 (cinco) dias e o outro não inferior a 14 (quatorze) dias.</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Parágrafo Quarto:</w:t>
      </w:r>
      <w:r w:rsidRPr="00CF3AF0">
        <w:rPr>
          <w:rFonts w:ascii="Roboto Slab" w:eastAsia="Times New Roman" w:hAnsi="Roboto Slab" w:cs="Times New Roman"/>
          <w:color w:val="666666"/>
          <w:sz w:val="24"/>
          <w:szCs w:val="24"/>
          <w:lang w:eastAsia="pt-BR"/>
        </w:rPr>
        <w:t> Nas situações onde o empregado parcelar o gozo de férias, será facultado converter 1/3 (um terço) do saldo de férias adquirido no período em abono pecuniário, independentemente da quantidade de dias de gozo.</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Parágrafo Quarto:</w:t>
      </w:r>
      <w:r w:rsidRPr="00CF3AF0">
        <w:rPr>
          <w:rFonts w:ascii="Roboto Slab" w:eastAsia="Times New Roman" w:hAnsi="Roboto Slab" w:cs="Times New Roman"/>
          <w:color w:val="666666"/>
          <w:sz w:val="24"/>
          <w:szCs w:val="24"/>
          <w:lang w:eastAsia="pt-BR"/>
        </w:rPr>
        <w:t> A regra de conversão especificada no Parágrafo Terceiro terá vigência a partir de 02 de janeiro de 2021.</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JORNADA DE TRABALHO E INTERVALO PARA REPOUSO E ALIMENTAÇÃO</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A duração normal do trabalho dos empregados da CAIXA será de 6 (seis) horas continuas nos dias úteis, com exceção dos sábados, perfazendo um total de 30 (trinta) horas de trabalho por semana, conforme o art. 224 da CLT e ressalvados seus parágrafos.</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 </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Parágrafo primeiro –</w:t>
      </w:r>
      <w:r w:rsidRPr="00CF3AF0">
        <w:rPr>
          <w:rFonts w:ascii="Roboto Slab" w:eastAsia="Times New Roman" w:hAnsi="Roboto Slab" w:cs="Times New Roman"/>
          <w:color w:val="666666"/>
          <w:sz w:val="24"/>
          <w:szCs w:val="24"/>
          <w:lang w:eastAsia="pt-BR"/>
        </w:rPr>
        <w:t> Na jornada de trabalho prevista no </w:t>
      </w:r>
      <w:r w:rsidRPr="00CF3AF0">
        <w:rPr>
          <w:rFonts w:ascii="inherit" w:eastAsia="Times New Roman" w:hAnsi="inherit" w:cs="Times New Roman"/>
          <w:i/>
          <w:iCs/>
          <w:color w:val="666666"/>
          <w:sz w:val="24"/>
          <w:szCs w:val="24"/>
          <w:bdr w:val="none" w:sz="0" w:space="0" w:color="auto" w:frame="1"/>
          <w:lang w:eastAsia="pt-BR"/>
        </w:rPr>
        <w:t>caput</w:t>
      </w:r>
      <w:r w:rsidRPr="00CF3AF0">
        <w:rPr>
          <w:rFonts w:ascii="Roboto Slab" w:eastAsia="Times New Roman" w:hAnsi="Roboto Slab" w:cs="Times New Roman"/>
          <w:color w:val="666666"/>
          <w:sz w:val="24"/>
          <w:szCs w:val="24"/>
          <w:lang w:eastAsia="pt-BR"/>
        </w:rPr>
        <w:t> desta cláusula será concedido um intervalo para repouso e alimentação de 30 (trinta) minutos, sendo que 15 minutos são computados dentro da jornada normal e o excedente fora da jornada. Caso haja prestação de horas extras, esse intervalo poderá ser de até de 2 horas.</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lastRenderedPageBreak/>
        <w:t>Parágrafo segundo –</w:t>
      </w:r>
      <w:r w:rsidRPr="00CF3AF0">
        <w:rPr>
          <w:rFonts w:ascii="Roboto Slab" w:eastAsia="Times New Roman" w:hAnsi="Roboto Slab" w:cs="Times New Roman"/>
          <w:color w:val="666666"/>
          <w:sz w:val="24"/>
          <w:szCs w:val="24"/>
          <w:lang w:eastAsia="pt-BR"/>
        </w:rPr>
        <w:t> O cômputo de 15 (quinze) minutos de intervalo dentro da jornada não caracteriza redução da jornada de 6 (seis) horas, prevalecendo como jornada normal de trabalho o disposto no artigo 224 da CLT.</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Parágrafo terceiro </w:t>
      </w:r>
      <w:r w:rsidRPr="00CF3AF0">
        <w:rPr>
          <w:rFonts w:ascii="Roboto Slab" w:eastAsia="Times New Roman" w:hAnsi="Roboto Slab" w:cs="Times New Roman"/>
          <w:color w:val="666666"/>
          <w:sz w:val="24"/>
          <w:szCs w:val="24"/>
          <w:lang w:eastAsia="pt-BR"/>
        </w:rPr>
        <w:t>– Na jornada de trabalho de 8 (oito) horas diárias e 40 (quarenta) horas semanais prevista para os empregados que possuem o registro obrigatório de ponto, será concedido um intervalo para repouso e alimentação de 30 (trinta) minutos até 2 (duas) horas, devidamente acordado entre empregado e gestor.</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Parágrafo quarto</w:t>
      </w:r>
      <w:r w:rsidRPr="00CF3AF0">
        <w:rPr>
          <w:rFonts w:ascii="Roboto Slab" w:eastAsia="Times New Roman" w:hAnsi="Roboto Slab" w:cs="Times New Roman"/>
          <w:color w:val="666666"/>
          <w:sz w:val="24"/>
          <w:szCs w:val="24"/>
          <w:lang w:eastAsia="pt-BR"/>
        </w:rPr>
        <w:t> – A redução do intervalo prevista no parágrafo anterior em relação ao mínimo legal é faculdade do empregado, sujeita à escala efetuada pelo gestor para a área.</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Parágrafo quinto</w:t>
      </w:r>
      <w:r w:rsidRPr="00CF3AF0">
        <w:rPr>
          <w:rFonts w:ascii="Roboto Slab" w:eastAsia="Times New Roman" w:hAnsi="Roboto Slab" w:cs="Times New Roman"/>
          <w:color w:val="666666"/>
          <w:sz w:val="24"/>
          <w:szCs w:val="24"/>
          <w:lang w:eastAsia="pt-BR"/>
        </w:rPr>
        <w:t> – O intervalo para repouso e alimentação de que trata o Parágrafo terceiro será devidamente registrado pelo empregado no SIPON e não será computado na jornada, em qualquer hipótese.</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Parágrafo sexto –</w:t>
      </w:r>
      <w:r w:rsidRPr="00CF3AF0">
        <w:rPr>
          <w:rFonts w:ascii="Roboto Slab" w:eastAsia="Times New Roman" w:hAnsi="Roboto Slab" w:cs="Times New Roman"/>
          <w:color w:val="666666"/>
          <w:sz w:val="24"/>
          <w:szCs w:val="24"/>
          <w:lang w:eastAsia="pt-BR"/>
        </w:rPr>
        <w:t> A implantação dos Parágrafos terceiro e quarto ocorrerá após os ajustes sistêmicos necessários e atualização normativa.</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Parágrafo sétimo – </w:t>
      </w:r>
      <w:r w:rsidRPr="00CF3AF0">
        <w:rPr>
          <w:rFonts w:ascii="Roboto Slab" w:eastAsia="Times New Roman" w:hAnsi="Roboto Slab" w:cs="Times New Roman"/>
          <w:color w:val="666666"/>
          <w:sz w:val="24"/>
          <w:szCs w:val="24"/>
          <w:lang w:eastAsia="pt-BR"/>
        </w:rPr>
        <w:t>Aos empregados integrantes da carreira profissional, prevalece o previsto em seus contratos de trabalho e posteriores alterações.</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 </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Saúde CAIXA – Premissas:</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Titular 3,5% da RB</w:t>
      </w:r>
      <w:r w:rsidRPr="00CF3AF0">
        <w:rPr>
          <w:rFonts w:ascii="Roboto Slab" w:eastAsia="Times New Roman" w:hAnsi="Roboto Slab" w:cs="Times New Roman"/>
          <w:color w:val="666666"/>
          <w:sz w:val="24"/>
          <w:szCs w:val="24"/>
          <w:lang w:eastAsia="pt-BR"/>
        </w:rPr>
        <w:br/>
        <w:t>Dependente 0,4 % para cada</w:t>
      </w:r>
      <w:r w:rsidRPr="00CF3AF0">
        <w:rPr>
          <w:rFonts w:ascii="Roboto Slab" w:eastAsia="Times New Roman" w:hAnsi="Roboto Slab" w:cs="Times New Roman"/>
          <w:color w:val="666666"/>
          <w:sz w:val="24"/>
          <w:szCs w:val="24"/>
          <w:lang w:eastAsia="pt-BR"/>
        </w:rPr>
        <w:br/>
        <w:t>Teto 4,3% de mensalidade</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Coparticipação 30% por procedimento, tendo como teto 3.600,00 por grupo familiar.</w:t>
      </w:r>
      <w:r w:rsidRPr="00CF3AF0">
        <w:rPr>
          <w:rFonts w:ascii="Roboto Slab" w:eastAsia="Times New Roman" w:hAnsi="Roboto Slab" w:cs="Times New Roman"/>
          <w:color w:val="666666"/>
          <w:sz w:val="24"/>
          <w:szCs w:val="24"/>
          <w:lang w:eastAsia="pt-BR"/>
        </w:rPr>
        <w:br/>
        <w:t>Os beneficiários não pagam  coparticipação para internação e tratamento oncológico.</w:t>
      </w:r>
      <w:r w:rsidRPr="00CF3AF0">
        <w:rPr>
          <w:rFonts w:ascii="Roboto Slab" w:eastAsia="Times New Roman" w:hAnsi="Roboto Slab" w:cs="Times New Roman"/>
          <w:color w:val="666666"/>
          <w:sz w:val="24"/>
          <w:szCs w:val="24"/>
          <w:lang w:eastAsia="pt-BR"/>
        </w:rPr>
        <w:br/>
        <w:t>Atendimento em pronto socorro, coparticipação de 75 reais.</w:t>
      </w:r>
      <w:r w:rsidRPr="00CF3AF0">
        <w:rPr>
          <w:rFonts w:ascii="Roboto Slab" w:eastAsia="Times New Roman" w:hAnsi="Roboto Slab" w:cs="Times New Roman"/>
          <w:color w:val="666666"/>
          <w:sz w:val="24"/>
          <w:szCs w:val="24"/>
          <w:lang w:eastAsia="pt-BR"/>
        </w:rPr>
        <w:br/>
        <w:t>Mantém o modelo 70/30 para o ano de 2021, incluindo o custo administrativo.</w:t>
      </w:r>
      <w:r w:rsidRPr="00CF3AF0">
        <w:rPr>
          <w:rFonts w:ascii="Roboto Slab" w:eastAsia="Times New Roman" w:hAnsi="Roboto Slab" w:cs="Times New Roman"/>
          <w:color w:val="666666"/>
          <w:sz w:val="24"/>
          <w:szCs w:val="24"/>
          <w:lang w:eastAsia="pt-BR"/>
        </w:rPr>
        <w:br/>
        <w:t>GT para debate e elaboração de propostas para sustentabilidade financeira do Saúde Caixa.</w:t>
      </w:r>
      <w:r w:rsidRPr="00CF3AF0">
        <w:rPr>
          <w:rFonts w:ascii="Roboto Slab" w:eastAsia="Times New Roman" w:hAnsi="Roboto Slab" w:cs="Times New Roman"/>
          <w:color w:val="666666"/>
          <w:sz w:val="24"/>
          <w:szCs w:val="24"/>
          <w:lang w:eastAsia="pt-BR"/>
        </w:rPr>
        <w:br/>
        <w:t>Inclusão dos contratados pós 2018.</w:t>
      </w:r>
      <w:r w:rsidRPr="00CF3AF0">
        <w:rPr>
          <w:rFonts w:ascii="Roboto Slab" w:eastAsia="Times New Roman" w:hAnsi="Roboto Slab" w:cs="Times New Roman"/>
          <w:color w:val="666666"/>
          <w:sz w:val="24"/>
          <w:szCs w:val="24"/>
          <w:lang w:eastAsia="pt-BR"/>
        </w:rPr>
        <w:br/>
        <w:t>Referência ao teto de 6,5% da folha, conforme ACT anterior</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lastRenderedPageBreak/>
        <w:t>Para o dependente indireto, será cobrado 0,4% por participante, ressalvando-se que por se tratar de uma regra excepcional de inclusão no plano, esse tipo de dependente não será computado no teto de 4,3%.</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 </w:t>
      </w:r>
    </w:p>
    <w:p w:rsidR="00CF3AF0" w:rsidRPr="00CF3AF0" w:rsidRDefault="00CF3AF0" w:rsidP="00CF3AF0">
      <w:pPr>
        <w:shd w:val="clear" w:color="auto" w:fill="FFFFFF"/>
        <w:spacing w:after="0" w:line="240" w:lineRule="auto"/>
        <w:textAlignment w:val="baseline"/>
        <w:rPr>
          <w:rFonts w:ascii="Roboto Slab" w:eastAsia="Times New Roman" w:hAnsi="Roboto Slab" w:cs="Times New Roman"/>
          <w:color w:val="666666"/>
          <w:sz w:val="24"/>
          <w:szCs w:val="24"/>
          <w:lang w:eastAsia="pt-BR"/>
        </w:rPr>
      </w:pPr>
      <w:r w:rsidRPr="00CF3AF0">
        <w:rPr>
          <w:rFonts w:ascii="inherit" w:eastAsia="Times New Roman" w:hAnsi="inherit" w:cs="Times New Roman"/>
          <w:b/>
          <w:bCs/>
          <w:color w:val="666666"/>
          <w:sz w:val="24"/>
          <w:szCs w:val="24"/>
          <w:bdr w:val="none" w:sz="0" w:space="0" w:color="auto" w:frame="1"/>
          <w:lang w:eastAsia="pt-BR"/>
        </w:rPr>
        <w:t>Aditivo PLR</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Premissas:</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Acompanhar a proposta pactuada na mesa única, da PLR FENABAN, na regra básica e na regra adicional;</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Manter a PLR Caixa Social;</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Garantir o mínimo individual de 1 Remuneração Base (RB);</w:t>
      </w:r>
    </w:p>
    <w:p w:rsidR="00CF3AF0" w:rsidRPr="00CF3AF0" w:rsidRDefault="00CF3AF0" w:rsidP="00CF3AF0">
      <w:pPr>
        <w:shd w:val="clear" w:color="auto" w:fill="FFFFFF"/>
        <w:spacing w:after="300" w:line="240" w:lineRule="auto"/>
        <w:textAlignment w:val="baseline"/>
        <w:rPr>
          <w:rFonts w:ascii="Roboto Slab" w:eastAsia="Times New Roman" w:hAnsi="Roboto Slab" w:cs="Times New Roman"/>
          <w:color w:val="666666"/>
          <w:sz w:val="24"/>
          <w:szCs w:val="24"/>
          <w:lang w:eastAsia="pt-BR"/>
        </w:rPr>
      </w:pPr>
      <w:r w:rsidRPr="00CF3AF0">
        <w:rPr>
          <w:rFonts w:ascii="Roboto Slab" w:eastAsia="Times New Roman" w:hAnsi="Roboto Slab" w:cs="Times New Roman"/>
          <w:color w:val="666666"/>
          <w:sz w:val="24"/>
          <w:szCs w:val="24"/>
          <w:lang w:eastAsia="pt-BR"/>
        </w:rPr>
        <w:t>– Limite individual de 3 RB.</w:t>
      </w:r>
    </w:p>
    <w:p w:rsidR="00CF3AF0" w:rsidRPr="00B060D8" w:rsidRDefault="00CF3AF0" w:rsidP="00CF3AF0">
      <w:pPr>
        <w:spacing w:line="276" w:lineRule="auto"/>
        <w:jc w:val="both"/>
        <w:rPr>
          <w:rFonts w:cs="Arial"/>
          <w:b/>
          <w:sz w:val="24"/>
          <w:szCs w:val="24"/>
        </w:rPr>
      </w:pPr>
      <w:r w:rsidRPr="00B060D8">
        <w:rPr>
          <w:rFonts w:cs="Arial"/>
          <w:b/>
          <w:sz w:val="24"/>
          <w:szCs w:val="24"/>
        </w:rPr>
        <w:t xml:space="preserve">CLÁUSULA  - CONTRIBUIÇÃO NEGOCIAL </w:t>
      </w:r>
    </w:p>
    <w:p w:rsidR="00CF3AF0" w:rsidRPr="00B060D8" w:rsidRDefault="00CF3AF0" w:rsidP="00CF3AF0">
      <w:pPr>
        <w:spacing w:line="276" w:lineRule="auto"/>
        <w:jc w:val="both"/>
        <w:rPr>
          <w:rFonts w:cs="Arial"/>
          <w:sz w:val="24"/>
          <w:szCs w:val="24"/>
        </w:rPr>
      </w:pPr>
    </w:p>
    <w:p w:rsidR="00CF3AF0" w:rsidRDefault="00CF3AF0" w:rsidP="00CF3AF0">
      <w:pPr>
        <w:spacing w:line="276" w:lineRule="auto"/>
        <w:jc w:val="both"/>
        <w:rPr>
          <w:rFonts w:cs="Arial"/>
          <w:sz w:val="24"/>
          <w:szCs w:val="24"/>
        </w:rPr>
      </w:pPr>
      <w:r w:rsidRPr="00A00CD7">
        <w:rPr>
          <w:rFonts w:cs="Arial"/>
          <w:sz w:val="24"/>
          <w:szCs w:val="24"/>
        </w:rPr>
        <w:t>Fica instituída e considera-se válida a contribuição negocial, com fundamento  na Constituição Federal, expressamente fixada nesta Convenção Coletiva de Trabalho, aprovada em assembleias sindicais dos empregados, para custeio das entidades sindicais profissionais, em decorrência das negociações coletivas trabalhistas d</w:t>
      </w:r>
      <w:r>
        <w:rPr>
          <w:rFonts w:cs="Arial"/>
          <w:sz w:val="24"/>
          <w:szCs w:val="24"/>
        </w:rPr>
        <w:t>e data-base</w:t>
      </w:r>
      <w:r w:rsidRPr="00A00CD7">
        <w:rPr>
          <w:rFonts w:cs="Arial"/>
          <w:sz w:val="24"/>
          <w:szCs w:val="24"/>
        </w:rPr>
        <w:t xml:space="preserve">, a ser descontada pelos bancos nos contracheques dos empregados, </w:t>
      </w:r>
      <w:r>
        <w:rPr>
          <w:rFonts w:cs="Arial"/>
          <w:sz w:val="24"/>
          <w:szCs w:val="24"/>
        </w:rPr>
        <w:t xml:space="preserve">nas folhas de pagamento referentes ao mês de setembro dos anos 2020 e 2021 - mês da data-base da categoria - </w:t>
      </w:r>
      <w:r w:rsidRPr="00A00CD7">
        <w:rPr>
          <w:rFonts w:cs="Arial"/>
          <w:sz w:val="24"/>
          <w:szCs w:val="24"/>
        </w:rPr>
        <w:t>na forma dos parágrafos seguintes.</w:t>
      </w:r>
    </w:p>
    <w:p w:rsidR="00CF3AF0" w:rsidRPr="00B060D8" w:rsidRDefault="00CF3AF0" w:rsidP="00CF3AF0">
      <w:pPr>
        <w:spacing w:line="276" w:lineRule="auto"/>
        <w:jc w:val="both"/>
        <w:rPr>
          <w:rFonts w:cs="Arial"/>
          <w:sz w:val="24"/>
          <w:szCs w:val="24"/>
        </w:rPr>
      </w:pPr>
    </w:p>
    <w:p w:rsidR="00CF3AF0" w:rsidRPr="00FC6E41" w:rsidRDefault="00CF3AF0" w:rsidP="00CF3AF0">
      <w:pPr>
        <w:spacing w:line="276" w:lineRule="auto"/>
        <w:jc w:val="both"/>
        <w:rPr>
          <w:rFonts w:cs="Arial"/>
          <w:sz w:val="24"/>
          <w:szCs w:val="24"/>
        </w:rPr>
      </w:pPr>
      <w:r w:rsidRPr="00FC6E41">
        <w:rPr>
          <w:rFonts w:cs="Arial"/>
          <w:b/>
          <w:sz w:val="24"/>
          <w:szCs w:val="24"/>
        </w:rPr>
        <w:t>Parágrafo primeiro</w:t>
      </w:r>
      <w:r w:rsidRPr="00FC6E41">
        <w:rPr>
          <w:rFonts w:cs="Arial"/>
          <w:sz w:val="24"/>
          <w:szCs w:val="24"/>
        </w:rPr>
        <w:t xml:space="preserve"> - Os valores das contribuições previstas no </w:t>
      </w:r>
      <w:r w:rsidRPr="00FC6E41">
        <w:rPr>
          <w:rFonts w:cs="Arial"/>
          <w:i/>
          <w:sz w:val="24"/>
          <w:szCs w:val="24"/>
        </w:rPr>
        <w:t>caput</w:t>
      </w:r>
      <w:r w:rsidRPr="00FC6E41">
        <w:rPr>
          <w:rFonts w:cs="Arial"/>
          <w:sz w:val="24"/>
          <w:szCs w:val="24"/>
        </w:rPr>
        <w:t xml:space="preserve"> desta cláusula correspondem a 1,5% (um vírgula cinco por cento) do salário-básico vigente do empregado, acrescido da gratificação de função, de caixa e de compensador de cheques, e anuênios, se pagos no mês, </w:t>
      </w:r>
      <w:r w:rsidRPr="000E40AE">
        <w:rPr>
          <w:rFonts w:cs="Arial"/>
          <w:sz w:val="24"/>
          <w:szCs w:val="24"/>
        </w:rPr>
        <w:t>com os limites mínimo de R$ 50,00 (cinquenta reais) e</w:t>
      </w:r>
      <w:r w:rsidRPr="00FC6E41">
        <w:rPr>
          <w:rFonts w:cs="Arial"/>
          <w:sz w:val="24"/>
          <w:szCs w:val="24"/>
        </w:rPr>
        <w:t xml:space="preserve"> máximo de R$ 2</w:t>
      </w:r>
      <w:r>
        <w:rPr>
          <w:rFonts w:cs="Arial"/>
          <w:sz w:val="24"/>
          <w:szCs w:val="24"/>
        </w:rPr>
        <w:t>5</w:t>
      </w:r>
      <w:r w:rsidRPr="00FC6E41">
        <w:rPr>
          <w:rFonts w:cs="Arial"/>
          <w:sz w:val="24"/>
          <w:szCs w:val="24"/>
        </w:rPr>
        <w:t xml:space="preserve">0,00 (duzentos e </w:t>
      </w:r>
      <w:r>
        <w:rPr>
          <w:rFonts w:cs="Arial"/>
          <w:sz w:val="24"/>
          <w:szCs w:val="24"/>
        </w:rPr>
        <w:t>cinquenta</w:t>
      </w:r>
      <w:r w:rsidRPr="00FC6E41">
        <w:rPr>
          <w:rFonts w:cs="Arial"/>
          <w:sz w:val="24"/>
          <w:szCs w:val="24"/>
        </w:rPr>
        <w:t xml:space="preserve"> reais)</w:t>
      </w:r>
      <w:r>
        <w:rPr>
          <w:rFonts w:cs="Arial"/>
          <w:sz w:val="24"/>
          <w:szCs w:val="24"/>
        </w:rPr>
        <w:t>, sob a rubrica de “</w:t>
      </w:r>
      <w:r w:rsidRPr="00986FDC">
        <w:rPr>
          <w:rFonts w:cs="Arial"/>
          <w:sz w:val="24"/>
          <w:szCs w:val="24"/>
        </w:rPr>
        <w:t>contribuição negocial</w:t>
      </w:r>
      <w:r>
        <w:rPr>
          <w:rFonts w:cs="Arial"/>
          <w:sz w:val="24"/>
          <w:szCs w:val="24"/>
        </w:rPr>
        <w:t>”</w:t>
      </w:r>
      <w:r w:rsidRPr="00FC6E41">
        <w:rPr>
          <w:rFonts w:cs="Arial"/>
          <w:sz w:val="24"/>
          <w:szCs w:val="24"/>
        </w:rPr>
        <w:t>.</w:t>
      </w:r>
    </w:p>
    <w:p w:rsidR="00CF3AF0" w:rsidRPr="00FC6E41" w:rsidRDefault="00CF3AF0" w:rsidP="00CF3AF0">
      <w:pPr>
        <w:spacing w:line="276" w:lineRule="auto"/>
        <w:jc w:val="both"/>
        <w:rPr>
          <w:rFonts w:cs="Arial"/>
          <w:sz w:val="24"/>
          <w:szCs w:val="24"/>
        </w:rPr>
      </w:pPr>
    </w:p>
    <w:p w:rsidR="00CF3AF0" w:rsidRPr="00FB6162" w:rsidRDefault="00CF3AF0" w:rsidP="00CF3AF0">
      <w:pPr>
        <w:spacing w:line="276" w:lineRule="auto"/>
        <w:jc w:val="both"/>
        <w:rPr>
          <w:rFonts w:cs="Arial"/>
          <w:color w:val="000000" w:themeColor="text1"/>
          <w:sz w:val="24"/>
          <w:szCs w:val="24"/>
        </w:rPr>
      </w:pPr>
      <w:r w:rsidRPr="00FB6162">
        <w:rPr>
          <w:rFonts w:cs="Arial"/>
          <w:b/>
          <w:color w:val="000000" w:themeColor="text1"/>
          <w:sz w:val="24"/>
          <w:szCs w:val="24"/>
        </w:rPr>
        <w:t xml:space="preserve">Parágrafo segundo </w:t>
      </w:r>
      <w:r w:rsidRPr="00FB6162">
        <w:rPr>
          <w:rFonts w:cs="Arial"/>
          <w:bCs/>
          <w:color w:val="000000" w:themeColor="text1"/>
          <w:sz w:val="24"/>
          <w:szCs w:val="24"/>
        </w:rPr>
        <w:t>- Os valores descontados dos empregados serão distribuídos pelo banco entre as entidades, na proporção apresentada abaixo, e de acordo com a demonstração contida no ANEXO I - Lista de Representação e Contribuição Negocial:</w:t>
      </w:r>
    </w:p>
    <w:p w:rsidR="00CF3AF0" w:rsidRPr="00FB6162" w:rsidRDefault="00CF3AF0" w:rsidP="00CF3AF0">
      <w:pPr>
        <w:spacing w:line="276" w:lineRule="auto"/>
        <w:jc w:val="both"/>
        <w:rPr>
          <w:rFonts w:cs="Arial"/>
          <w:color w:val="000000" w:themeColor="text1"/>
          <w:sz w:val="24"/>
          <w:szCs w:val="24"/>
        </w:rPr>
      </w:pPr>
    </w:p>
    <w:p w:rsidR="00CF3AF0" w:rsidRPr="00FB6162" w:rsidRDefault="00CF3AF0" w:rsidP="00CF3AF0">
      <w:pPr>
        <w:pStyle w:val="PargrafodaLista"/>
        <w:numPr>
          <w:ilvl w:val="0"/>
          <w:numId w:val="5"/>
        </w:numPr>
        <w:tabs>
          <w:tab w:val="left" w:pos="284"/>
        </w:tabs>
        <w:spacing w:line="276" w:lineRule="auto"/>
        <w:ind w:left="0" w:firstLine="0"/>
        <w:jc w:val="both"/>
        <w:rPr>
          <w:rFonts w:cs="Arial"/>
          <w:color w:val="000000" w:themeColor="text1"/>
          <w:sz w:val="24"/>
          <w:szCs w:val="24"/>
          <w:lang w:val="pt-BR"/>
        </w:rPr>
      </w:pPr>
      <w:r w:rsidRPr="00FB6162">
        <w:rPr>
          <w:rFonts w:cs="Arial"/>
          <w:color w:val="000000" w:themeColor="text1"/>
          <w:sz w:val="24"/>
          <w:szCs w:val="24"/>
          <w:lang w:val="pt-BR"/>
        </w:rPr>
        <w:t xml:space="preserve">70% (setenta por cento) para o sindicato respectivo; </w:t>
      </w:r>
    </w:p>
    <w:p w:rsidR="00CF3AF0" w:rsidRPr="00FB6162" w:rsidRDefault="00CF3AF0" w:rsidP="00CF3AF0">
      <w:pPr>
        <w:pStyle w:val="PargrafodaLista"/>
        <w:numPr>
          <w:ilvl w:val="0"/>
          <w:numId w:val="5"/>
        </w:numPr>
        <w:tabs>
          <w:tab w:val="left" w:pos="284"/>
        </w:tabs>
        <w:spacing w:line="276" w:lineRule="auto"/>
        <w:ind w:left="0" w:firstLine="0"/>
        <w:jc w:val="both"/>
        <w:rPr>
          <w:rFonts w:cs="Arial"/>
          <w:color w:val="000000" w:themeColor="text1"/>
          <w:sz w:val="24"/>
          <w:szCs w:val="24"/>
          <w:lang w:val="pt-BR"/>
        </w:rPr>
      </w:pPr>
      <w:bookmarkStart w:id="0" w:name="_Hlk523262800"/>
      <w:r w:rsidRPr="00FB6162">
        <w:rPr>
          <w:rFonts w:cs="Arial"/>
          <w:bCs/>
          <w:color w:val="000000" w:themeColor="text1"/>
          <w:sz w:val="24"/>
          <w:szCs w:val="24"/>
          <w:lang w:val="pt-BR"/>
        </w:rPr>
        <w:t>15% (quinze por cento) para a federação respectiva; e</w:t>
      </w:r>
    </w:p>
    <w:p w:rsidR="00CF3AF0" w:rsidRPr="00FB6162" w:rsidRDefault="00CF3AF0" w:rsidP="00CF3AF0">
      <w:pPr>
        <w:pStyle w:val="PargrafodaLista"/>
        <w:numPr>
          <w:ilvl w:val="0"/>
          <w:numId w:val="5"/>
        </w:numPr>
        <w:tabs>
          <w:tab w:val="left" w:pos="284"/>
        </w:tabs>
        <w:spacing w:line="276" w:lineRule="auto"/>
        <w:ind w:left="0" w:firstLine="0"/>
        <w:jc w:val="both"/>
        <w:rPr>
          <w:rFonts w:cs="Arial"/>
          <w:color w:val="000000" w:themeColor="text1"/>
          <w:sz w:val="24"/>
          <w:szCs w:val="24"/>
          <w:lang w:val="pt-BR"/>
        </w:rPr>
      </w:pPr>
      <w:r w:rsidRPr="00FB6162">
        <w:rPr>
          <w:rFonts w:cs="Arial"/>
          <w:bCs/>
          <w:color w:val="000000" w:themeColor="text1"/>
          <w:sz w:val="24"/>
          <w:szCs w:val="24"/>
          <w:lang w:val="pt-BR"/>
        </w:rPr>
        <w:t>15% (quinze por cento) para a confederação respectiva, que permanecerá com 10% (dez por cento) do valor e repassará 5% (cinco por cento) para a central sindical à qual o sindicato estiver filiado.</w:t>
      </w:r>
    </w:p>
    <w:bookmarkEnd w:id="0"/>
    <w:p w:rsidR="00CF3AF0" w:rsidRPr="00FC6E41" w:rsidRDefault="00CF3AF0" w:rsidP="00CF3AF0">
      <w:pPr>
        <w:pStyle w:val="PargrafodaLista"/>
        <w:rPr>
          <w:rFonts w:cs="Arial"/>
          <w:color w:val="auto"/>
          <w:sz w:val="24"/>
          <w:szCs w:val="24"/>
          <w:lang w:val="pt-BR"/>
        </w:rPr>
      </w:pPr>
    </w:p>
    <w:p w:rsidR="00CF3AF0" w:rsidRPr="00FB6162" w:rsidRDefault="00CF3AF0" w:rsidP="00CF3AF0">
      <w:pPr>
        <w:spacing w:line="276" w:lineRule="auto"/>
        <w:jc w:val="both"/>
        <w:rPr>
          <w:rFonts w:cs="Arial"/>
          <w:b/>
          <w:color w:val="000000" w:themeColor="text1"/>
          <w:sz w:val="24"/>
          <w:szCs w:val="24"/>
        </w:rPr>
      </w:pPr>
      <w:r w:rsidRPr="00FB6162">
        <w:rPr>
          <w:rFonts w:cs="Arial"/>
          <w:b/>
          <w:color w:val="000000" w:themeColor="text1"/>
          <w:sz w:val="24"/>
          <w:szCs w:val="24"/>
        </w:rPr>
        <w:t>Parágrafo terceiro -</w:t>
      </w:r>
      <w:r w:rsidRPr="00FB6162">
        <w:rPr>
          <w:rFonts w:cs="Arial"/>
          <w:bCs/>
          <w:color w:val="000000" w:themeColor="text1"/>
          <w:sz w:val="24"/>
          <w:szCs w:val="24"/>
        </w:rPr>
        <w:t xml:space="preserve"> Não havendo indicação, no Anexo I, de filiação do sindicato a uma ou mais entidades de grau superior, o desconto da contribuição negocial dos empregados lotados na respectiva base de representação será proporcional, e não ocorrerá redistribuição do valor, observando-se, nestes casos, as seguintes condições:</w:t>
      </w:r>
    </w:p>
    <w:p w:rsidR="00CF3AF0" w:rsidRDefault="00CF3AF0" w:rsidP="00CF3AF0">
      <w:pPr>
        <w:spacing w:line="276" w:lineRule="auto"/>
        <w:jc w:val="both"/>
        <w:rPr>
          <w:rFonts w:cs="Arial"/>
          <w:b/>
          <w:sz w:val="24"/>
          <w:szCs w:val="24"/>
        </w:rPr>
      </w:pPr>
    </w:p>
    <w:p w:rsidR="00CF3AF0" w:rsidRPr="005F1147" w:rsidRDefault="00CF3AF0" w:rsidP="00CF3AF0">
      <w:pPr>
        <w:pStyle w:val="PargrafodaLista"/>
        <w:numPr>
          <w:ilvl w:val="0"/>
          <w:numId w:val="6"/>
        </w:numPr>
        <w:spacing w:line="276" w:lineRule="auto"/>
        <w:jc w:val="both"/>
        <w:rPr>
          <w:rFonts w:cs="Arial"/>
          <w:bCs/>
          <w:color w:val="auto"/>
          <w:sz w:val="24"/>
          <w:szCs w:val="24"/>
          <w:lang w:val="pt-BR"/>
        </w:rPr>
      </w:pPr>
      <w:r w:rsidRPr="005F1147">
        <w:rPr>
          <w:rFonts w:cs="Arial"/>
          <w:bCs/>
          <w:color w:val="auto"/>
          <w:sz w:val="24"/>
          <w:szCs w:val="24"/>
          <w:lang w:val="pt-BR"/>
        </w:rPr>
        <w:t xml:space="preserve">O banco não procederá ao desconto correspondente aos 15% (quinze por cento) previstos na alínea “b”, caso não haja indicação de filiação do sindicato à federação; </w:t>
      </w:r>
      <w:r w:rsidRPr="005F1147">
        <w:rPr>
          <w:rFonts w:cs="Arial"/>
          <w:bCs/>
          <w:color w:val="auto"/>
          <w:sz w:val="24"/>
          <w:szCs w:val="24"/>
          <w:lang w:val="pt-BR"/>
        </w:rPr>
        <w:cr/>
      </w:r>
    </w:p>
    <w:p w:rsidR="00CF3AF0" w:rsidRPr="005F1147" w:rsidRDefault="00CF3AF0" w:rsidP="00CF3AF0">
      <w:pPr>
        <w:pStyle w:val="PargrafodaLista"/>
        <w:numPr>
          <w:ilvl w:val="0"/>
          <w:numId w:val="6"/>
        </w:numPr>
        <w:spacing w:line="276" w:lineRule="auto"/>
        <w:jc w:val="both"/>
        <w:rPr>
          <w:rFonts w:cs="Arial"/>
          <w:bCs/>
          <w:color w:val="auto"/>
          <w:sz w:val="24"/>
          <w:szCs w:val="24"/>
          <w:lang w:val="pt-BR"/>
        </w:rPr>
      </w:pPr>
      <w:r w:rsidRPr="005F1147">
        <w:rPr>
          <w:rFonts w:cs="Arial"/>
          <w:bCs/>
          <w:color w:val="auto"/>
          <w:sz w:val="24"/>
          <w:szCs w:val="24"/>
          <w:lang w:val="pt-BR"/>
        </w:rPr>
        <w:t>O banco não procederá ao desconto correspondente aos 10% (dez por cento) previstos na alínea “c”, caso não haja indicação de filiação do sindicato à confederação</w:t>
      </w:r>
      <w:r>
        <w:rPr>
          <w:rFonts w:cs="Arial"/>
          <w:bCs/>
          <w:color w:val="auto"/>
          <w:sz w:val="24"/>
          <w:szCs w:val="24"/>
          <w:lang w:val="pt-BR"/>
        </w:rPr>
        <w:t>.</w:t>
      </w:r>
    </w:p>
    <w:p w:rsidR="007576B5" w:rsidRDefault="007576B5">
      <w:bookmarkStart w:id="1" w:name="_GoBack"/>
      <w:bookmarkEnd w:id="1"/>
    </w:p>
    <w:sectPr w:rsidR="007576B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Roboto Slab">
    <w:altName w:val="Arial"/>
    <w:panose1 w:val="00000000000000000000"/>
    <w:charset w:val="00"/>
    <w:family w:val="roman"/>
    <w:notTrueType/>
    <w:pitch w:val="default"/>
  </w:font>
  <w:font w:name="inheri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349CA"/>
    <w:multiLevelType w:val="multilevel"/>
    <w:tmpl w:val="2C565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B578B0"/>
    <w:multiLevelType w:val="multilevel"/>
    <w:tmpl w:val="B68EF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AFB7998"/>
    <w:multiLevelType w:val="hybridMultilevel"/>
    <w:tmpl w:val="3E08489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7B2363B"/>
    <w:multiLevelType w:val="multilevel"/>
    <w:tmpl w:val="85769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CAA56F6"/>
    <w:multiLevelType w:val="multilevel"/>
    <w:tmpl w:val="A5D41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364473D"/>
    <w:multiLevelType w:val="hybridMultilevel"/>
    <w:tmpl w:val="5B66C4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AF0"/>
    <w:rsid w:val="007576B5"/>
    <w:rsid w:val="00CF3A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B98899-2A19-468E-BAA5-4AD6DA08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CF3AF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Tipodeletrapredefinidodopargrafo"/>
    <w:uiPriority w:val="22"/>
    <w:qFormat/>
    <w:rsid w:val="00CF3AF0"/>
    <w:rPr>
      <w:b/>
      <w:bCs/>
    </w:rPr>
  </w:style>
  <w:style w:type="character" w:styleId="nfase">
    <w:name w:val="Emphasis"/>
    <w:basedOn w:val="Tipodeletrapredefinidodopargrafo"/>
    <w:uiPriority w:val="20"/>
    <w:qFormat/>
    <w:rsid w:val="00CF3AF0"/>
    <w:rPr>
      <w:i/>
      <w:iCs/>
    </w:rPr>
  </w:style>
  <w:style w:type="paragraph" w:styleId="PargrafodaLista">
    <w:name w:val="List Paragraph"/>
    <w:basedOn w:val="Normal"/>
    <w:uiPriority w:val="34"/>
    <w:qFormat/>
    <w:rsid w:val="00CF3AF0"/>
    <w:pPr>
      <w:spacing w:after="0" w:line="240" w:lineRule="auto"/>
      <w:ind w:left="708"/>
    </w:pPr>
    <w:rPr>
      <w:rFonts w:ascii="Arial" w:eastAsia="Times New Roman" w:hAnsi="Arial" w:cs="Times New Roman"/>
      <w:color w:val="000000"/>
      <w:sz w:val="26"/>
      <w:szCs w:val="20"/>
      <w:lang w:val="pt-PT"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9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1608</Words>
  <Characters>8685</Characters>
  <Application>Microsoft Office Word</Application>
  <DocSecurity>0</DocSecurity>
  <Lines>72</Lines>
  <Paragraphs>20</Paragraphs>
  <ScaleCrop>false</ScaleCrop>
  <Company/>
  <LinksUpToDate>false</LinksUpToDate>
  <CharactersWithSpaces>10273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dc:creator>
  <cp:keywords/>
  <dc:description/>
  <cp:lastModifiedBy>GEORGIA</cp:lastModifiedBy>
  <cp:revision>1</cp:revision>
  <dcterms:created xsi:type="dcterms:W3CDTF">2020-08-31T12:07:00Z</dcterms:created>
  <dcterms:modified xsi:type="dcterms:W3CDTF">2020-08-31T12:08:00Z</dcterms:modified>
</cp:coreProperties>
</file>